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ТЕХНОЛОГИЧЕСКАЯ СХЕМА</w:t>
      </w:r>
    </w:p>
    <w:p>
      <w:pPr>
        <w:jc w:val="center"/>
        <w:rPr>
          <w:sz w:val="22"/>
        </w:rPr>
      </w:pPr>
      <w:r>
        <w:rPr>
          <w:sz w:val="22"/>
        </w:rPr>
        <w:t xml:space="preserve">п</w:t>
      </w:r>
      <w:r>
        <w:rPr>
          <w:sz w:val="24"/>
          <w:szCs w:val="24"/>
        </w:rPr>
        <w:t xml:space="preserve">редоставления услуги «</w:t>
      </w:r>
      <w:r>
        <w:rPr>
          <w:rFonts w:eastAsiaTheme="minorEastAsia"/>
          <w:color w:val="000000" w:themeColor="text1"/>
          <w:sz w:val="22"/>
          <w:highlight w:val="white"/>
          <w:lang w:eastAsia="ru-RU"/>
        </w:rPr>
        <w:t xml:space="preserve">Присвоение спортивных разрядов</w:t>
      </w:r>
      <w:r>
        <w:rPr>
          <w:sz w:val="24"/>
          <w:szCs w:val="24"/>
        </w:rPr>
        <w:t xml:space="preserve">»</w:t>
      </w:r>
    </w:p>
    <w:p>
      <w:pPr>
        <w:jc w:val="center"/>
      </w:pPr>
      <w:r>
        <w:t xml:space="preserve">  (наименование услуги)</w:t>
      </w:r>
    </w:p>
    <w:p>
      <w:pPr>
        <w:rPr>
          <w:color w:val="ff0000"/>
        </w:rPr>
      </w:pPr>
    </w:p>
    <w:tbl>
      <w:tblPr>
        <w:tblW w:w="10333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678"/>
        <w:gridCol w:w="7655"/>
      </w:tblGrid>
      <w:t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firstLine="90"/>
              <w:rPr>
                <w:color w:val="ff0000"/>
                <w:sz w:val="22"/>
              </w:rPr>
            </w:pPr>
            <w:r>
              <w:rPr>
                <w:b/>
                <w:bCs/>
                <w:sz w:val="22"/>
                <w:szCs w:val="16"/>
                <w:shd w:val="clear" w:color="auto" w:fill="f2f2f2"/>
              </w:rPr>
              <w:t xml:space="preserve">Данные по услуге</w:t>
            </w:r>
          </w:p>
        </w:tc>
      </w:tr>
      <w:tr>
        <w:trPr>
          <w:trHeight w:val="57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Полное наименование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Присвоение спортивных разрядов</w:t>
            </w:r>
          </w:p>
        </w:tc>
      </w:tr>
      <w:tr>
        <w:trPr>
          <w:trHeight w:val="55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Краткое наименование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color w:val="ff0000"/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Присвоение спортивных разрядов</w:t>
            </w:r>
          </w:p>
        </w:tc>
      </w:tr>
      <w:tr>
        <w:trPr>
          <w:trHeight w:val="53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ОГВ, ответственный за предоставление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>
              <w:rPr>
                <w:sz w:val="22"/>
                <w:lang w:eastAsia="ru-RU"/>
              </w:rPr>
              <w:t xml:space="preserve">Органы местного самоуправления.</w:t>
            </w:r>
          </w:p>
        </w:tc>
      </w:tr>
      <w:tr>
        <w:trPr>
          <w:trHeight w:val="38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20"/>
              <w:rPr>
                <w:szCs w:val="20"/>
              </w:rPr>
            </w:pPr>
            <w:r>
              <w:rPr>
                <w:szCs w:val="20"/>
              </w:rPr>
              <w:t xml:space="preserve">Код услуги в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5600000000170320703</w:t>
            </w:r>
          </w:p>
        </w:tc>
      </w:tr>
      <w:tr>
        <w:trPr>
          <w:trHeight w:val="5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Перечень </w:t>
            </w:r>
            <w:r>
              <w:rPr>
                <w:sz w:val="20"/>
                <w:szCs w:val="20"/>
                <w:lang w:eastAsia="ru-RU"/>
              </w:rPr>
              <w:t xml:space="preserve">подуслуг</w:t>
            </w:r>
            <w:r>
              <w:rPr>
                <w:sz w:val="20"/>
                <w:szCs w:val="20"/>
                <w:lang w:eastAsia="ru-RU"/>
              </w:rPr>
              <w:t xml:space="preserve"> в рамках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1) присвоение спортивного разряда.</w:t>
            </w:r>
          </w:p>
          <w:p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2) подтверждение спортивного разряда.</w:t>
            </w:r>
          </w:p>
          <w:p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3)</w:t>
            </w: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</w:rPr>
              <w:t xml:space="preserve"> лишение спортивного разряда.</w:t>
            </w:r>
          </w:p>
          <w:p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2"/>
              </w:rPr>
              <w:t xml:space="preserve">4) </w:t>
            </w: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</w:rPr>
              <w:t xml:space="preserve">восстановление спортивного разряда.</w:t>
            </w:r>
          </w:p>
          <w:p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</w:tr>
      <w:tr>
        <w:trPr>
          <w:trHeight w:val="316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color w:val="ff0000"/>
                <w:szCs w:val="20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П</w:t>
            </w: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рисвоение спортивного разряда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5600000000170320861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5600000000170320860</w:t>
            </w:r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Cs w:val="20"/>
              </w:rPr>
            </w:pPr>
            <w:r>
              <w:rPr>
                <w:color w:val="000000" w:themeColor="text1"/>
                <w:sz w:val="22"/>
              </w:rPr>
              <w:t xml:space="preserve">22 рабочих дня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1) путем личного посещения Уполномоченного органа;</w:t>
            </w:r>
          </w:p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2) в личном кабинете заявителя на ЕПГУ в форме электронного документа;</w:t>
            </w:r>
          </w:p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3) путем личного посещения МФЦ.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lang w:eastAsia="ru-RU"/>
              </w:rPr>
              <w:t xml:space="preserve">региональные спортивные федерации, местные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Да.</w:t>
            </w:r>
            <w:r>
              <w:t xml:space="preserve"> 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Представление для присвоения спортивного разряда;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Документ, удостоверяющий личность гражданина Российской Федерации или иной документ, удостоверяющий личность гражданина Российской Федерации;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Документы, представляемые в соответствии перечнем, установленным</w:t>
            </w:r>
            <w:r>
              <w:rPr>
                <w:color w:val="000000" w:themeColor="text1"/>
                <w:sz w:val="24"/>
                <w:szCs w:val="24"/>
              </w:rPr>
              <w:t xml:space="preserve"> разделом IV ЕВСК (Положение о Единой всероссийской спортивной классификации, утверждённое приказом Министерства спорта Российской Федерации от 3 марта 2025 г. № 173);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Документ, подтверждающий полномочия представителя заявителя.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Да.</w:t>
            </w:r>
          </w:p>
        </w:tc>
      </w:tr>
      <w:tr>
        <w:trPr>
          <w:trHeight w:val="316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П</w:t>
            </w: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одтверждение спортивного разряда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5600000000170320972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5600000000170320971</w:t>
            </w:r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 w:val="22"/>
              </w:rPr>
            </w:pPr>
            <w:r>
              <w:rPr>
                <w:sz w:val="22"/>
              </w:rPr>
              <w:t xml:space="preserve">22 рабочих дня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1) путем личного посещения Уполномоченного органа;</w:t>
            </w:r>
          </w:p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2) в личном кабинете заявителя на ЕПГУ в форме электронного документа;</w:t>
            </w:r>
          </w:p>
          <w:p>
            <w:pPr>
              <w:widowControl w:val="off"/>
              <w:jc w:val="both"/>
              <w:rPr>
                <w:rFonts w:eastAsiaTheme="minorEastAsia"/>
                <w:color w:val="000000" w:themeColor="text1"/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3) путем личного посещения МФЦ.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lang w:eastAsia="ru-RU"/>
              </w:rPr>
              <w:t xml:space="preserve">региональные спортивные федерации, местные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 Да.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Представление для подтверждения спортивного разряда;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Документ, удостоверяющий личность гражданина Российской Федерации или иной документ, удостоверяющий личность гражданина Российской Федерации;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Документы, представляемые в соответствии перечнем, установлен</w:t>
            </w:r>
            <w:r>
              <w:rPr>
                <w:color w:val="000000" w:themeColor="text1"/>
                <w:sz w:val="24"/>
                <w:szCs w:val="24"/>
              </w:rPr>
              <w:t xml:space="preserve">ным разделом IV ЕВСК (Положение о Единой всероссийской спортивной классификации, утверждённое приказом Министерства спорта Российской Федерации от 3 марта 2025 г. № 173);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Документ, подтверждающий полномочия представителя заявителя.</w:t>
            </w:r>
          </w:p>
          <w:p>
            <w:pPr>
              <w:widowControl w:val="off"/>
              <w:ind w:firstLine="708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Да.</w:t>
            </w:r>
          </w:p>
        </w:tc>
      </w:tr>
      <w:tr>
        <w:trPr>
          <w:trHeight w:val="359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ConsPlusNormal"/>
              <w:contextualSpacing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Cs w:val="22"/>
              </w:rPr>
              <w:t xml:space="preserve">Л</w:t>
            </w:r>
            <w:r>
              <w:rPr>
                <w:rStyle w:val="afb"/>
                <w:rFonts w:ascii="Times New Roman" w:hAnsi="Times New Roman" w:cs="Times New Roman"/>
                <w:color w:val="000000" w:themeColor="text1"/>
                <w:szCs w:val="22"/>
              </w:rPr>
              <w:t xml:space="preserve">ишение спортивного разряда</w:t>
            </w:r>
          </w:p>
          <w:p>
            <w:pPr>
              <w:rPr>
                <w:color w:val="ff0000"/>
                <w:szCs w:val="20"/>
              </w:rPr>
            </w:pP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5600000000170321001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5600000000170321000</w:t>
            </w:r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2 месяца и 5 рабочих дней со дня поступления заявления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contextualSpacing/>
              <w:jc w:val="both"/>
              <w:rPr>
                <w:rFonts w:eastAsiaTheme="minorEastAsia"/>
                <w:color w:val="000000" w:themeColor="text1"/>
                <w:sz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1) путем личного посещения Уполномоченного органа;</w:t>
            </w:r>
          </w:p>
          <w:p>
            <w:pPr>
              <w:widowControl w:val="off"/>
              <w:contextualSpacing/>
              <w:jc w:val="both"/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2) </w:t>
            </w:r>
            <w:r>
              <w:rPr>
                <w:rFonts w:eastAsiaTheme="minorEastAsia"/>
                <w:color w:val="000000" w:themeColor="text1"/>
              </w:rPr>
              <w:t xml:space="preserve">путем личного посещения МФЦ.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lang w:eastAsia="ru-RU"/>
              </w:rPr>
              <w:t xml:space="preserve">региональные спортивные федерации, местные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Cs w:val="20"/>
              </w:rPr>
              <w:t xml:space="preserve"> Да.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rFonts w:eastAsiaTheme="minorEastAsia"/>
                <w:color w:val="000000" w:themeColor="text1"/>
                <w:sz w:val="22"/>
              </w:rPr>
            </w:pPr>
            <w:r>
              <w:rPr>
                <w:rFonts w:eastAsiaTheme="minorEastAsia"/>
                <w:color w:val="000000" w:themeColor="text1"/>
                <w:sz w:val="22"/>
              </w:rPr>
              <w:t xml:space="preserve">заявление о лишении спортивного разряда;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документ, удостоверяющий личность гражданина Российской Федерации или иной документ;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документ, подтверждающий полномочия представителя заявителя.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 w:val="22"/>
              </w:rPr>
              <w:t xml:space="preserve">Нет</w:t>
            </w:r>
            <w:r>
              <w:rPr>
                <w:szCs w:val="20"/>
              </w:rPr>
              <w:t xml:space="preserve">.</w:t>
            </w:r>
          </w:p>
        </w:tc>
      </w:tr>
      <w:tr>
        <w:trPr>
          <w:trHeight w:val="316"/>
        </w:trPr>
        <w:tc>
          <w:tcPr>
            <w:tcW w:w="1033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Сведения о</w:t>
            </w:r>
            <w:r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</w:rPr>
              <w:t xml:space="preserve">подуслуге</w:t>
            </w:r>
            <w:r>
              <w:rPr>
                <w:b/>
                <w:sz w:val="22"/>
              </w:rPr>
              <w:t xml:space="preserve"> 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color w:val="ff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Наименование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rStyle w:val="afb"/>
                <w:rFonts w:ascii="Times New Roman" w:hAnsi="Times New Roman" w:cs="Times New Roman"/>
                <w:color w:val="000000" w:themeColor="text1"/>
                <w:sz w:val="22"/>
                <w:lang w:bidi="ru-RU"/>
              </w:rPr>
              <w:t xml:space="preserve">Восстановление спортивного разряда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5600000000170321119</w:t>
            </w:r>
          </w:p>
        </w:tc>
      </w:tr>
      <w:tr>
        <w:trPr>
          <w:trHeight w:val="448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Код процедуры ФРГУ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5600000000170321118</w:t>
            </w:r>
            <w:bookmarkStart w:id="0" w:name="_GoBack"/>
            <w:bookmarkEnd w:id="0"/>
          </w:p>
        </w:tc>
      </w:tr>
      <w:tr>
        <w:trPr>
          <w:trHeight w:val="340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Сроки оказания 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right="-1"/>
              <w:jc w:val="both"/>
              <w:rPr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2 месяца и 5 рабочих дней со дня поступления заявления</w:t>
            </w:r>
          </w:p>
        </w:tc>
      </w:tr>
      <w:tr>
        <w:trPr>
          <w:trHeight w:val="55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widowControl w:val="off"/>
              <w:contextualSpacing/>
              <w:jc w:val="both"/>
              <w:rPr>
                <w:rFonts w:eastAsiaTheme="minorEastAsia"/>
                <w:color w:val="000000" w:themeColor="text1"/>
                <w:sz w:val="22"/>
                <w:lang w:eastAsia="ru-RU"/>
              </w:rPr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1) путем личного посещения Уполномоченного органа;</w:t>
            </w:r>
          </w:p>
          <w:p>
            <w:pPr>
              <w:widowControl w:val="off"/>
              <w:contextualSpacing/>
              <w:jc w:val="both"/>
            </w:pPr>
            <w:r>
              <w:rPr>
                <w:rFonts w:eastAsiaTheme="minorEastAsia"/>
                <w:color w:val="000000" w:themeColor="text1"/>
                <w:sz w:val="22"/>
                <w:lang w:eastAsia="ru-RU"/>
              </w:rPr>
              <w:t xml:space="preserve">2) </w:t>
            </w:r>
            <w:r>
              <w:rPr>
                <w:rFonts w:eastAsiaTheme="minorEastAsia"/>
                <w:color w:val="000000" w:themeColor="text1"/>
              </w:rPr>
              <w:t xml:space="preserve">путем личного посещения МФЦ.</w:t>
            </w:r>
          </w:p>
        </w:tc>
      </w:tr>
      <w:tr>
        <w:trPr>
          <w:trHeight w:val="43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Сведения о заявителях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jc w:val="both"/>
              <w:rPr>
                <w:color w:val="ff0000"/>
                <w:szCs w:val="20"/>
              </w:rPr>
            </w:pPr>
            <w:r>
              <w:rPr>
                <w:rFonts w:ascii="Times New Roman CYR" w:hAnsi="Times New Roman CYR" w:cs="Times New Roman CYR" w:eastAsiaTheme="minorEastAsia"/>
                <w:color w:val="000000" w:themeColor="text1"/>
                <w:sz w:val="22"/>
                <w:highlight w:val="white"/>
                <w:lang w:eastAsia="ru-RU"/>
              </w:rPr>
              <w:t xml:space="preserve">региональные спортивные федерации, местные спортивные федерации, физкультурно-спортивные организации, включенные в перечень</w:t>
            </w:r>
          </w:p>
        </w:tc>
      </w:tr>
      <w:tr>
        <w:trPr>
          <w:trHeight w:val="526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  <w:lang w:val="en-US"/>
              </w:rPr>
            </w:pPr>
            <w:r>
              <w:rPr>
                <w:sz w:val="22"/>
              </w:rPr>
              <w:t xml:space="preserve"> Да.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заявление о восстановлении спортивного разряда;</w:t>
            </w:r>
          </w:p>
          <w:p>
            <w:pPr>
              <w:widowControl w:val="off"/>
              <w:tabs>
                <w:tab w:val="left" w:pos="709"/>
              </w:tabs>
              <w:jc w:val="both"/>
              <w:outlineLvl w:val="2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 xml:space="preserve">документ, удостоверяющий личность гражданина Российской Федерации или иной документ;</w:t>
            </w:r>
          </w:p>
          <w:p>
            <w:pPr>
              <w:rPr>
                <w:sz w:val="22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документ, подтверждающий полномочия представителя заявителя.</w:t>
            </w:r>
          </w:p>
        </w:tc>
      </w:tr>
      <w:tr>
        <w:trPr>
          <w:trHeight w:val="673"/>
        </w:trPr>
        <w:tc>
          <w:tcPr>
            <w:tcW w:w="26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Cs w:val="20"/>
              </w:rPr>
            </w:pPr>
            <w:r>
              <w:rPr>
                <w:sz w:val="22"/>
              </w:rPr>
              <w:t xml:space="preserve">Нет.</w:t>
            </w:r>
          </w:p>
        </w:tc>
      </w:tr>
    </w:tbl>
    <w:p>
      <w:pPr>
        <w:rPr>
          <w:color w:val="ff0000"/>
        </w:rPr>
      </w:pPr>
    </w:p>
    <w:p>
      <w:pPr>
        <w:rPr>
          <w:color w:val="ff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>
        <w:tc>
          <w:tcPr>
            <w:tcW w:w="283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  <w:tc>
          <w:tcPr>
            <w:tcW w:w="23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/</w:t>
            </w:r>
          </w:p>
        </w:tc>
        <w:tc>
          <w:tcPr>
            <w:tcW w:w="342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  <w:tc>
          <w:tcPr>
            <w:tcW w:w="333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  <w:tc>
          <w:tcPr>
            <w:tcW w:w="155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rPr>
                <w:color w:val="ff0000"/>
              </w:rPr>
            </w:pPr>
          </w:p>
        </w:tc>
      </w:tr>
      <w:tr>
        <w:tc>
          <w:tcPr>
            <w:tcW w:w="2835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16"/>
              </w:rPr>
              <w:t xml:space="preserve">Ф.И.О.</w:t>
            </w:r>
          </w:p>
        </w:tc>
        <w:tc>
          <w:tcPr>
            <w:tcW w:w="234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2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16"/>
              </w:rPr>
              <w:t xml:space="preserve">должность руководителя</w:t>
            </w:r>
          </w:p>
        </w:tc>
        <w:tc>
          <w:tcPr>
            <w:tcW w:w="333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55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16"/>
              </w:rPr>
              <w:t xml:space="preserve">подпись</w:t>
            </w:r>
            <w:r>
              <w:rPr>
                <w:rStyle w:val="afa"/>
                <w:sz w:val="16"/>
                <w:szCs w:val="16"/>
              </w:rPr>
              <w:endnoteReference w:id="1"/>
            </w:r>
          </w:p>
        </w:tc>
      </w:tr>
    </w:tbl>
    <w:p>
      <w:pPr>
        <w:rPr>
          <w:sz w:val="1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>
        <w:tc>
          <w:tcPr>
            <w:tcW w:w="146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sz w:val="18"/>
                <w:szCs w:val="16"/>
              </w:rPr>
              <w:t xml:space="preserve">«</w:t>
            </w:r>
          </w:p>
        </w:tc>
        <w:tc>
          <w:tcPr>
            <w:tcW w:w="31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0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»</w:t>
            </w:r>
          </w:p>
        </w:tc>
        <w:tc>
          <w:tcPr>
            <w:tcW w:w="113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8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42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8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sz w:val="18"/>
                <w:szCs w:val="16"/>
              </w:rPr>
              <w:t xml:space="preserve">г.</w:t>
            </w:r>
          </w:p>
        </w:tc>
        <w:tc>
          <w:tcPr>
            <w:tcW w:w="1987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  <w:tr>
        <w:tc>
          <w:tcPr>
            <w:tcW w:w="2694" w:type="dxa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6"/>
                <w:szCs w:val="24"/>
              </w:rPr>
            </w:pPr>
          </w:p>
        </w:tc>
        <w:tc>
          <w:tcPr>
            <w:tcW w:w="19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МП</w:t>
            </w:r>
          </w:p>
        </w:tc>
      </w:tr>
    </w:tbl>
    <w:p>
      <w:pPr>
        <w:rPr>
          <w:color w:val="ff0000"/>
        </w:rPr>
      </w:pPr>
    </w:p>
    <w:sectPr>
      <w:footerReference w:type="default" r:id="rId8"/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1">
    <w:p>
      <w:pPr>
        <w:pStyle w:val="af8"/>
        <w:rPr>
          <w:rFonts w:ascii="Times New Roman" w:hAnsi="Times New Roman"/>
          <w:sz w:val="16"/>
          <w:szCs w:val="16"/>
          <w:lang w:val="ru-RU"/>
        </w:rPr>
      </w:pPr>
      <w:r>
        <w:rPr>
          <w:rStyle w:val="afa"/>
          <w:rFonts w:ascii="Times New Roman" w:hAnsi="Times New Roman"/>
          <w:sz w:val="16"/>
          <w:szCs w:val="16"/>
        </w:rPr>
        <w:endnoteRef/>
      </w:r>
      <w:r>
        <w:rPr>
          <w:rFonts w:ascii="Times New Roman" w:hAnsi="Times New Roman"/>
          <w:sz w:val="16"/>
          <w:szCs w:val="16"/>
          <w:lang w:val="ru-RU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5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Times New Roman" w:cs="Times New Roman"/>
      <w:sz w:val="20"/>
      <w:lang w:bidi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a0"/>
    <w:uiPriority w:val="9"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a0"/>
    <w:uiPriority w:val="9"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a0"/>
    <w:uiPriority w:val="9"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a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a0"/>
    <w:uiPriority w:val="9"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a0"/>
    <w:uiPriority w:val="9"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a0"/>
    <w:uiPriority w:val="10"/>
    <w:rPr>
      <w:sz w:val="48"/>
      <w:szCs w:val="48"/>
    </w:rPr>
  </w:style>
  <w:style w:type="character" w:styleId="SubtitleChar" w:customStyle="1">
    <w:name w:val="Subtitle Char"/>
    <w:basedOn w:val="a0"/>
    <w:uiPriority w:val="11"/>
    <w:rPr>
      <w:sz w:val="24"/>
      <w:szCs w:val="24"/>
    </w:rPr>
  </w:style>
  <w:style w:type="character" w:styleId="QuoteChar" w:customStyle="1">
    <w:name w:val="Quote Char"/>
    <w:uiPriority w:val="29"/>
    <w:rPr>
      <w:i/>
    </w:rPr>
  </w:style>
  <w:style w:type="character" w:styleId="IntenseQuoteChar" w:customStyle="1">
    <w:name w:val="Intense Quote Char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noteTextChar" w:customStyle="1">
    <w:name w:val="Footnote Text Char"/>
    <w:uiPriority w:val="99"/>
    <w:rPr>
      <w:sz w:val="18"/>
    </w:rPr>
  </w:style>
  <w:style w:type="character" w:styleId="10" w:customStyle="1">
    <w:name w:val="Заголовок 1 Знак"/>
    <w:basedOn w:val="a0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styleId="ac" w:customStyle="1">
    <w:name w:val="Верхний колонтитул Знак"/>
    <w:basedOn w:val="a0"/>
    <w:link w:val="ab"/>
    <w:uiPriority w:val="99"/>
  </w:style>
  <w:style w:type="character" w:styleId="FooterChar" w:customStyle="1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CaptionChar" w:customStyle="1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band1Horz">
      <w:tcPr>
        <w:shd w:val="clear" w:color="b3d0eb" w:themeColor="accent1" w:themeTint="75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band1Horz">
      <w:tcPr>
        <w:shd w:val="clear" w:color="ffe28a" w:themeColor="accent4" w:themeTint="75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band1Horz">
      <w:tcPr>
        <w:shd w:val="clear" w:color="a9bee4" w:themeColor="accent5" w:themeTint="75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tcPr>
        <w:shd w:val="clear" w:color="ffefbf" w:themeColor="accent4" w:themeTint="40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tcPr>
        <w:shd w:val="clear" w:color="cfdbf0" w:themeColor="accent5" w:themeTint="40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styleId="af1" w:customStyle="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character" w:styleId="EndnoteTextChar" w:customStyle="1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  <w:rPr>
      <w:lang w:val="en-US"/>
    </w:rPr>
  </w:style>
  <w:style w:type="character" w:styleId="af6" w:customStyle="1">
    <w:name w:val="Нижний колонтитул Знак"/>
    <w:basedOn w:val="a0"/>
    <w:link w:val="af5"/>
    <w:rPr>
      <w:rFonts w:ascii="Times New Roman" w:hAnsi="Times New Roman" w:eastAsia="Times New Roman" w:cs="Times New Roman"/>
      <w:sz w:val="20"/>
      <w:lang w:val="en-US" w:bidi="en-US"/>
    </w:rPr>
  </w:style>
  <w:style w:type="paragraph" w:styleId="af7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endnote text"/>
    <w:basedOn w:val="a"/>
    <w:link w:val="af9"/>
    <w:rPr>
      <w:rFonts w:ascii="Calibri" w:hAnsi="Calibri"/>
      <w:lang w:val="en-US"/>
    </w:rPr>
  </w:style>
  <w:style w:type="character" w:styleId="af9" w:customStyle="1">
    <w:name w:val="Текст концевой сноски Знак"/>
    <w:basedOn w:val="a0"/>
    <w:link w:val="af8"/>
    <w:rPr>
      <w:rFonts w:ascii="Calibri" w:hAnsi="Calibri" w:eastAsia="Times New Roman" w:cs="Times New Roman"/>
      <w:sz w:val="20"/>
      <w:lang w:val="en-US" w:bidi="en-US"/>
    </w:rPr>
  </w:style>
  <w:style w:type="character" w:styleId="afa">
    <w:name w:val="endnote reference"/>
    <w:semiHidden/>
    <w:rPr>
      <w:vertAlign w:val="superscript"/>
    </w:rPr>
  </w:style>
  <w:style w:type="paragraph" w:styleId="ConsPlusNormal" w:customStyle="1">
    <w:name w:val="ConsPlusNormal"/>
    <w:link w:val="ConsPlusNormal0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character" w:styleId="ConsPlusNormal0" w:customStyle="1">
    <w:name w:val="ConsPlusNormal Знак"/>
    <w:link w:val="ConsPlusNormal"/>
    <w:rPr>
      <w:rFonts w:ascii="Calibri" w:hAnsi="Calibri" w:eastAsia="Times New Roman" w:cs="Calibri"/>
      <w:szCs w:val="20"/>
      <w:lang w:eastAsia="ru-RU"/>
    </w:rPr>
  </w:style>
  <w:style w:type="character" w:styleId="afb" w:customStyle="1">
    <w:name w:val="Цветовое выделение для Текст"/>
    <w:uiPriority w:val="99"/>
    <w:qFormat/>
    <w:rPr>
      <w:rFonts w:ascii="Times New Roman CYR" w:hAnsi="Times New Roman CYR" w:cs="Times New Roman CY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3884</Characters>
  <CharactersWithSpaces>4556</CharactersWithSpaces>
  <Company/>
  <DocSecurity>0</DocSecurity>
  <HyperlinksChanged>false</HyperlinksChanged>
  <Lines>32</Lines>
  <LinksUpToDate>false</LinksUpToDate>
  <Pages>3</Pages>
  <Paragraphs>9</Paragraphs>
  <ScaleCrop>false</ScaleCrop>
  <SharedDoc>false</SharedDoc>
  <Template>Normal</Template>
  <TotalTime>67</TotalTime>
  <Words>681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svm</cp:lastModifiedBy>
  <cp:revision>10</cp:revision>
  <dcterms:created xsi:type="dcterms:W3CDTF">2026-03-12T10:48:00Z</dcterms:created>
  <dcterms:modified xsi:type="dcterms:W3CDTF">2026-03-13T11:48:00Z</dcterms:modified>
</cp:coreProperties>
</file>